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8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внесенных изменениях в муниципальную программу «</w:t>
      </w:r>
      <w:r>
        <w:rPr>
          <w:rFonts w:ascii="Times New Roman" w:hAnsi="Times New Roman"/>
          <w:color w:val="000000" w:themeColor="text1"/>
          <w:sz w:val="24"/>
          <w:szCs w:val="24"/>
        </w:rPr>
        <w:t>Эффективное управление муниципальными финансами ЗАТО Северск» на 2021-2024 годы за 2024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1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тыс. руб.     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547"/>
        <w:gridCol w:w="1872"/>
        <w:gridCol w:w="1872"/>
        <w:gridCol w:w="1872"/>
        <w:gridCol w:w="1465"/>
      </w:tblGrid>
      <w:tr>
        <w:tc>
          <w:tcPr>
            <w:tcW w:w="132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редакция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01.07.2024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01.11.2024</w:t>
            </w:r>
          </w:p>
        </w:tc>
        <w:tc>
          <w:tcPr>
            <w:tcW w:w="761" w:type="pct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2024 год</w:t>
            </w:r>
          </w:p>
        </w:tc>
      </w:tr>
      <w:tr>
        <w:tc>
          <w:tcPr>
            <w:tcW w:w="1323" w:type="pct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972" w:type="pc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01.12.2020 № 2128</w:t>
            </w:r>
          </w:p>
        </w:tc>
        <w:tc>
          <w:tcPr>
            <w:tcW w:w="972" w:type="pc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31.07.2024 № 2604-па</w:t>
            </w:r>
          </w:p>
        </w:tc>
        <w:tc>
          <w:tcPr>
            <w:tcW w:w="972" w:type="pc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16.12.2024 № 4883-па</w:t>
            </w:r>
          </w:p>
        </w:tc>
        <w:tc>
          <w:tcPr>
            <w:tcW w:w="761" w:type="pct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1323" w:type="pct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ассигнований на реализацию программы (изменения), всего, в том числе по подпрограммам: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76 467,20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73 374,90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(-3 092,30)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64 435,73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(-8 939,17)</w:t>
            </w:r>
          </w:p>
        </w:tc>
        <w:tc>
          <w:tcPr>
            <w:tcW w:w="761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-12 031,47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1323" w:type="pct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1 159,13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809,13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(-350,00)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705,63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(-103,50)</w:t>
            </w:r>
          </w:p>
        </w:tc>
        <w:tc>
          <w:tcPr>
            <w:tcW w:w="761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-453,50</w:t>
            </w:r>
          </w:p>
        </w:tc>
      </w:tr>
      <w:tr>
        <w:tc>
          <w:tcPr>
            <w:tcW w:w="1323" w:type="pct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972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37 778,53</w:t>
            </w:r>
          </w:p>
        </w:tc>
        <w:tc>
          <w:tcPr>
            <w:tcW w:w="972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36 481,84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(-1 296,69)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29 281,84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(-7 200,00)</w:t>
            </w:r>
          </w:p>
        </w:tc>
        <w:tc>
          <w:tcPr>
            <w:tcW w:w="761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-8 496,69</w:t>
            </w:r>
          </w:p>
        </w:tc>
      </w:tr>
      <w:tr>
        <w:tc>
          <w:tcPr>
            <w:tcW w:w="1323" w:type="pct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</w:p>
        </w:tc>
        <w:tc>
          <w:tcPr>
            <w:tcW w:w="972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37 529,54</w:t>
            </w:r>
          </w:p>
        </w:tc>
        <w:tc>
          <w:tcPr>
            <w:tcW w:w="972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36 083,93 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(-1 445,61)</w:t>
            </w:r>
          </w:p>
        </w:tc>
        <w:tc>
          <w:tcPr>
            <w:tcW w:w="972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34 448,26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(-1 635,67)</w:t>
            </w:r>
          </w:p>
        </w:tc>
        <w:tc>
          <w:tcPr>
            <w:tcW w:w="761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-3 081,28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Обоснование изменений, внесенных Постановлением Администрации ЗАТО Северск от 31.07.2024 № 2604-па.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01.07.2024 в утвержденную Программу </w:t>
      </w:r>
      <w:r>
        <w:rPr>
          <w:rFonts w:ascii="Times New Roman" w:hAnsi="Times New Roman"/>
          <w:color w:val="000000" w:themeColor="text1"/>
          <w:sz w:val="24"/>
          <w:szCs w:val="24"/>
        </w:rPr>
        <w:t>на основании пункта 30 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о разработке муниципальных программ ЗАТО Северск Томской области, их формирования и реализации, утвержденного постановлением Администрации ЗАТО Северск от 24.09.2018 № 1797,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внесены изменения </w:t>
      </w:r>
      <w:r>
        <w:rPr>
          <w:rFonts w:ascii="Times New Roman" w:hAnsi="Times New Roman" w:cs="Times New Roman"/>
          <w:sz w:val="24"/>
          <w:szCs w:val="24"/>
        </w:rPr>
        <w:t>на 3 092,3 тыс. руб., из них:</w:t>
      </w:r>
    </w:p>
    <w:p>
      <w:pPr>
        <w:pStyle w:val="a3"/>
        <w:spacing w:after="0"/>
        <w:ind w:left="0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1) по подпрограмме 1«Повышение эффективности управления муниципальными финансами» уменьшены бюджетные ассигнования на 2024 год на сумму 350,0 тыс. руб. в связи с распределением поощрения по главным администраторам средств бюджета, достигших наилучших результатов в организации финансового менеджмента</w:t>
      </w:r>
    </w:p>
    <w:p>
      <w:pPr>
        <w:pStyle w:val="a3"/>
        <w:spacing w:after="0"/>
        <w:ind w:left="0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2) по подпрограмме 2 «Обеспечение долговой устойчивости бюджета ЗАТО Северск» уменьшены бюджетные ассигнования на 1 296,69 тыс. руб. по обслуживанию муниципального долга за счет использования механизма заимствования с лицевых счетов бюджетных учреждений. Уменьшение бюджетных ассигнований за 1 полугодие 2024 года на обслуживание муниципального долга за счет экономии, полученной за счет досрочного погашения бюджетных кредитов по договорам от 17.12.2021 № 118-БК и от 16.12.2022 № 195-БК;</w:t>
      </w:r>
    </w:p>
    <w:p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3) по обеспечивающей подпрограмме сальдировано уменьшены бюджетные ассигнования на сумму 1 445,61 тыс. руб. в том числе:</w:t>
      </w:r>
    </w:p>
    <w:p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увеличены расходы на сумму 93,75 тыс. руб., из них:</w:t>
      </w:r>
    </w:p>
    <w:p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70,0 тыс. руб. поощрение Финансового управления за I место в группе III, достигшего наилучших результатов в организации финансового менеджмента в своей группе;</w:t>
      </w:r>
    </w:p>
    <w:p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0"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23,75 тыс. руб. приобретение офисной мебели, ремонт и обслуживание оргтехники.</w:t>
      </w:r>
    </w:p>
    <w:p>
      <w:pPr>
        <w:spacing w:after="0"/>
        <w:ind w:firstLine="708"/>
        <w:jc w:val="both"/>
      </w:pPr>
      <w:r>
        <w:rPr>
          <w:rFonts w:ascii="Times New Roman" w:eastAsiaTheme="minorHAnsi" w:hAnsi="Times New Roman"/>
          <w:sz w:val="24"/>
          <w:szCs w:val="24"/>
          <w:lang w:eastAsia="en-US"/>
        </w:rPr>
        <w:t>- уменьшены бюджетные ассигнования в сумме 1 539,36 тыс. руб., ассигнования перераспределены в пользу Администрации ЗАТО Северск, Управления образования Администрации ЗАТО Северск, Управления капитального строительства Администрации ЗАТО Северск.</w:t>
      </w:r>
      <w:r>
        <w:t xml:space="preserve"> </w:t>
      </w:r>
    </w:p>
    <w:p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 Обоснование изменений, внесенных Постановлением Администрации ЗАТО Северск от 16.12.2024 № 4883-па.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01.11.2024 в утвержденную Программу на основании пункта 30 Порядка принятия решений о разработке муниципальных программ ЗАТО Северск Томской области, их формирования и реализации, утвержденного постановлением Администрации ЗАТО Северск от 24.09.2018 № 1797, внесены изменения на 8 939,17 тыс. руб., из них: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подпрограмме 1 «Повышение эффективности управления муниципальными финансами» в 2024 году уменьшены бюджетные ассигнования на сумму 103,50 тыс. руб. по КПМ «Совершенствование информационно-технического сопровождения бюджетного процесса на территории ЗАТО Северск» по расходам на услуги сопровождения программного продукта «БАРС. Бюджет Онлайн» в соответствии с условиями муниципального контракта от 08.12.2023 №2;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подпрограмме 2 «Обеспечение долговой устойчивости бюджета ЗАТО Северск» уменьшены бюджетные ассигнования на сумму 7 200,0 тыс. руб. на обслуживание муниципального долга за счет экономии расходов по оплате процентов образовавшихся </w:t>
      </w:r>
      <w:r>
        <w:rPr>
          <w:rFonts w:ascii="Times New Roman" w:hAnsi="Times New Roman" w:cs="Times New Roman"/>
          <w:sz w:val="24"/>
          <w:szCs w:val="24"/>
        </w:rPr>
        <w:br/>
        <w:t xml:space="preserve">за счет использования механизма заимствования с лицевых счетов бюджетных учреждений, </w:t>
      </w:r>
      <w:r>
        <w:rPr>
          <w:rFonts w:ascii="Times New Roman" w:hAnsi="Times New Roman" w:cs="Times New Roman"/>
          <w:sz w:val="24"/>
          <w:szCs w:val="24"/>
        </w:rPr>
        <w:br/>
        <w:t xml:space="preserve">а также с учетом срока уплаты процентов за пользование коммерческим кредитом </w:t>
      </w:r>
      <w:r>
        <w:rPr>
          <w:rFonts w:ascii="Times New Roman" w:hAnsi="Times New Roman" w:cs="Times New Roman"/>
          <w:sz w:val="24"/>
          <w:szCs w:val="24"/>
        </w:rPr>
        <w:br/>
        <w:t>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Томскпромстройбанк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» согласно муниципальному контракту от 02.09.2024 №6 в январе 2025 года за декабрь 2024 года;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по обеспечивающей подпрограмме сальдировано увеличены бюджетные ассигнования в 2024 году на сумму 1 635,67 тыс. руб. в том числе: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увеличены расходы на сумму 319,1 тыс. руб., в том числе:</w:t>
      </w:r>
    </w:p>
    <w:p>
      <w:pPr>
        <w:pStyle w:val="a3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2,8 тыс. руб. по КОСГУ 264 «Пенсии, пособия, выплачиваемые работодателями, нанимателями бывшим работникам»;</w:t>
      </w:r>
    </w:p>
    <w:p>
      <w:pPr>
        <w:pStyle w:val="a3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2,1 тыс. руб. по КОСГУ 212 «Прочие несоциальные выплаты персоналу в денежной форме»;</w:t>
      </w:r>
    </w:p>
    <w:p>
      <w:pPr>
        <w:pStyle w:val="a3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16,8 тыс. руб. - на заработную плату и начисления на выплаты по оплате труда в связи с увеличением с 01.10.2024 на 5,1 % в соответствии со статьей 134 Трудового кодекса Российской Федерации, постановлением Администрации Томской области от 13.09.2024 № 391а «Об увеличении фонда оплаты труда работников, на которых не распространяется действие указов Президента Российской Федерации от 07.05.2012 № 597, от 01.06.2012 № 761 и от 28.12.2012 № 1688 и о внесении изменений в отдельные постановления Администрации Томской области»;</w:t>
      </w:r>
    </w:p>
    <w:p>
      <w:pPr>
        <w:pStyle w:val="a3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71,61 тыс. руб. – приобретение комплектующих для персональных компьютеров, приобретение многофункционального устройства, а также заправка картриджей, ремонт МФУ;</w:t>
      </w:r>
    </w:p>
    <w:p>
      <w:pPr>
        <w:pStyle w:val="a3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173,79 тыс. руб. – приобретение офисной бумаги, канцелярских товаров и материальных запасов, а также ремонт офисной мебели;</w:t>
      </w:r>
    </w:p>
    <w:p>
      <w:pPr>
        <w:pStyle w:val="a3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52,0 тыс. руб. – подписка на периодическое издание и обучение по программе повышения квалификации;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уменьшены расходы на сумму 1 954,77 тыс. руб., в том числе: </w:t>
      </w:r>
    </w:p>
    <w:p>
      <w:pPr>
        <w:pStyle w:val="a3"/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1 755,97 тыс. руб. по КОСГУ 266 «Социальные пособия и компенсации персоналу в денежной форме»;</w:t>
      </w:r>
    </w:p>
    <w:p>
      <w:pPr>
        <w:pStyle w:val="a3"/>
        <w:numPr>
          <w:ilvl w:val="0"/>
          <w:numId w:val="1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уменьшены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расходы на сумму 198,8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экономии.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Программа исполнена в сумме 62 885,72 тыс. руб.</w:t>
      </w:r>
    </w:p>
    <w:p>
      <w:pPr>
        <w:tabs>
          <w:tab w:val="left" w:pos="5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headerReference w:type="default" r:id="rId7"/>
      <w:footerReference w:type="default" r:id="rId8"/>
      <w:footerReference w:type="first" r:id="rId9"/>
      <w:pgSz w:w="11906" w:h="16838" w:code="9"/>
      <w:pgMar w:top="1134" w:right="567" w:bottom="1134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>
      <w:rPr>
        <w:rFonts w:ascii="Times New Roman CYR" w:eastAsia="Times New Roman" w:hAnsi="Times New Roman CYR" w:cs="Times New Roman"/>
        <w:sz w:val="20"/>
        <w:szCs w:val="20"/>
      </w:rPr>
      <w:t>Внутренний номер: 343300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>
      <w:rPr>
        <w:rFonts w:ascii="Times New Roman CYR" w:eastAsia="Times New Roman" w:hAnsi="Times New Roman CYR" w:cs="Times New Roman"/>
        <w:sz w:val="20"/>
        <w:szCs w:val="20"/>
      </w:rPr>
      <w:t>Внутренний номер: 343300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3010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</w:rPr>
    </w:sdtEndPr>
    <w:sdtContent>
      <w:p>
        <w:pPr>
          <w:pStyle w:val="a4"/>
          <w:jc w:val="center"/>
          <w:rPr>
            <w:rFonts w:ascii="Times New Roman" w:hAnsi="Times New Roman" w:cs="Times New Roman"/>
            <w:color w:val="FFFFFF" w:themeColor="background1"/>
          </w:rPr>
        </w:pPr>
        <w:r>
          <w:rPr>
            <w:rFonts w:ascii="Times New Roman" w:hAnsi="Times New Roman" w:cs="Times New Roman"/>
            <w:color w:val="FFFFFF" w:themeColor="background1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</w:rPr>
          <w:t>3</w:t>
        </w:r>
        <w:r>
          <w:rPr>
            <w:rFonts w:ascii="Times New Roman" w:hAnsi="Times New Roman" w:cs="Times New Roman"/>
            <w:color w:val="FFFFFF" w:themeColor="background1"/>
          </w:rPr>
          <w:fldChar w:fldCharType="end"/>
        </w:r>
      </w:p>
    </w:sdtContent>
  </w:sdt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42F5"/>
    <w:multiLevelType w:val="hybridMultilevel"/>
    <w:tmpl w:val="D5CA5B94"/>
    <w:lvl w:ilvl="0" w:tplc="F9A253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FC4229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42492D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C66A16"/>
    <w:multiLevelType w:val="hybridMultilevel"/>
    <w:tmpl w:val="E8AE1842"/>
    <w:lvl w:ilvl="0" w:tplc="38848280">
      <w:start w:val="1"/>
      <w:numFmt w:val="decimal"/>
      <w:lvlText w:val="%1."/>
      <w:lvlJc w:val="left"/>
      <w:pPr>
        <w:ind w:left="1065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56E2271"/>
    <w:multiLevelType w:val="hybridMultilevel"/>
    <w:tmpl w:val="9CBC71E4"/>
    <w:lvl w:ilvl="0" w:tplc="06624B3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CA6C2B"/>
    <w:multiLevelType w:val="hybridMultilevel"/>
    <w:tmpl w:val="7144AC1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C9F5D43"/>
    <w:multiLevelType w:val="hybridMultilevel"/>
    <w:tmpl w:val="E504661A"/>
    <w:lvl w:ilvl="0" w:tplc="91EA4F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6CF03C3"/>
    <w:multiLevelType w:val="hybridMultilevel"/>
    <w:tmpl w:val="7898F31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6C135826"/>
    <w:multiLevelType w:val="hybridMultilevel"/>
    <w:tmpl w:val="3C562C48"/>
    <w:lvl w:ilvl="0" w:tplc="5B04314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F6285D"/>
    <w:multiLevelType w:val="hybridMultilevel"/>
    <w:tmpl w:val="7B8AE01E"/>
    <w:lvl w:ilvl="0" w:tplc="7F0EBBC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D154F77"/>
    <w:multiLevelType w:val="hybridMultilevel"/>
    <w:tmpl w:val="CB04F33C"/>
    <w:lvl w:ilvl="0" w:tplc="03067F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5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99CD3-46E7-4330-9BB2-35343216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table" w:styleId="a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1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Ткачева Т.Н.</cp:lastModifiedBy>
  <cp:revision>14</cp:revision>
  <cp:lastPrinted>2025-02-26T10:20:00Z</cp:lastPrinted>
  <dcterms:created xsi:type="dcterms:W3CDTF">2025-01-28T10:52:00Z</dcterms:created>
  <dcterms:modified xsi:type="dcterms:W3CDTF">2025-02-26T10:20:00Z</dcterms:modified>
</cp:coreProperties>
</file>